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rPr>
          <w:rFonts w:hint="default" w:eastAsia="黑体" w:cs="Times New Roman"/>
          <w:sz w:val="32"/>
          <w:szCs w:val="32"/>
          <w:lang w:bidi="ar-SA"/>
        </w:rPr>
      </w:pPr>
      <w:r>
        <w:rPr>
          <w:rFonts w:hint="default" w:eastAsia="黑体" w:cs="Times New Roman"/>
          <w:sz w:val="32"/>
          <w:szCs w:val="32"/>
          <w:lang w:bidi="ar-SA"/>
        </w:rPr>
        <w:t>附件2</w:t>
      </w:r>
    </w:p>
    <w:p>
      <w:pPr>
        <w:spacing w:line="0" w:lineRule="atLeast"/>
        <w:rPr>
          <w:rFonts w:hint="default" w:eastAsia="黑体" w:cs="Times New Roman"/>
          <w:kern w:val="0"/>
          <w:sz w:val="32"/>
          <w:szCs w:val="32"/>
          <w:lang w:bidi="ar-SA"/>
        </w:rPr>
      </w:pPr>
    </w:p>
    <w:p>
      <w:pPr>
        <w:snapToGrid w:val="0"/>
        <w:spacing w:line="700" w:lineRule="exact"/>
        <w:jc w:val="center"/>
        <w:rPr>
          <w:rFonts w:hint="default" w:eastAsia="方正小标宋_GBK" w:cs="Times New Roman"/>
          <w:spacing w:val="-8"/>
          <w:kern w:val="0"/>
          <w:sz w:val="36"/>
          <w:szCs w:val="36"/>
          <w:lang w:bidi="ar-SA"/>
        </w:rPr>
      </w:pPr>
      <w:bookmarkStart w:id="0" w:name="_GoBack"/>
      <w:r>
        <w:rPr>
          <w:rFonts w:hint="default" w:eastAsia="方正小标宋_GBK" w:cs="Times New Roman"/>
          <w:spacing w:val="-8"/>
          <w:kern w:val="0"/>
          <w:sz w:val="36"/>
          <w:szCs w:val="36"/>
          <w:lang w:bidi="ar-SA"/>
        </w:rPr>
        <w:t>株洲市福寿山庄殡葬服务政府指导价项目价格表</w:t>
      </w:r>
    </w:p>
    <w:bookmarkEnd w:id="0"/>
    <w:p>
      <w:pPr>
        <w:spacing w:line="0" w:lineRule="atLeast"/>
        <w:rPr>
          <w:rFonts w:hint="default" w:eastAsia="黑体" w:cs="Times New Roman"/>
          <w:kern w:val="0"/>
          <w:sz w:val="32"/>
          <w:szCs w:val="32"/>
          <w:lang w:bidi="ar-SA"/>
        </w:rPr>
      </w:pPr>
    </w:p>
    <w:tbl>
      <w:tblPr>
        <w:tblStyle w:val="3"/>
        <w:tblW w:w="10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081"/>
        <w:gridCol w:w="699"/>
        <w:gridCol w:w="5529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tblHeader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left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服务项目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计价</w:t>
            </w:r>
          </w:p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单位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收费</w:t>
            </w:r>
          </w:p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标准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必备服务设施</w:t>
            </w: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eastAsia="黑体" w:cs="Times New Roman"/>
                <w:sz w:val="24"/>
                <w:lang w:bidi="ar-SA"/>
              </w:rPr>
            </w:pPr>
            <w:r>
              <w:rPr>
                <w:rFonts w:hint="default" w:eastAsia="黑体" w:cs="Times New Roman"/>
                <w:sz w:val="24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一、悼念厅租赁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left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尾数</w:t>
            </w:r>
            <w:r>
              <w:rPr>
                <w:rFonts w:hint="eastAsia" w:cs="Times New Roman"/>
                <w:sz w:val="24"/>
                <w:lang w:eastAsia="zh-CN" w:bidi="ar-SA"/>
              </w:rPr>
              <w:t>不</w:t>
            </w:r>
            <w:r>
              <w:rPr>
                <w:rFonts w:hint="default" w:cs="Times New Roman"/>
                <w:sz w:val="24"/>
                <w:lang w:bidi="ar-SA"/>
              </w:rPr>
              <w:t>超过30分钟按</w:t>
            </w:r>
            <w:r>
              <w:rPr>
                <w:rFonts w:hint="eastAsia" w:cs="Times New Roman"/>
                <w:sz w:val="24"/>
                <w:lang w:eastAsia="zh-CN" w:bidi="ar-SA"/>
              </w:rPr>
              <w:t>半</w:t>
            </w:r>
            <w:r>
              <w:rPr>
                <w:rFonts w:hint="default" w:cs="Times New Roman"/>
                <w:sz w:val="24"/>
                <w:lang w:bidi="ar-SA"/>
              </w:rPr>
              <w:t>小时计算</w:t>
            </w:r>
            <w:r>
              <w:rPr>
                <w:rFonts w:hint="eastAsia" w:cs="Times New Roman"/>
                <w:sz w:val="24"/>
                <w:lang w:eastAsia="zh-CN" w:bidi="ar-SA"/>
              </w:rPr>
              <w:t>；</w:t>
            </w:r>
            <w:r>
              <w:rPr>
                <w:rFonts w:hint="default" w:cs="Times New Roman"/>
                <w:sz w:val="24"/>
                <w:lang w:bidi="ar-SA"/>
              </w:rPr>
              <w:t>尾数超过30分钟按1小时计算。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福寿宫（540平方米）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180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音响设备、桌椅（不含娱乐用）、祭台、仿真盆景、标准休息室3间、音响室、香炉、礼薄桌、跪垫、供品盘、饮水机4台、垃圾桶4个、布艺、空调等。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长安堂（242平方米）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130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音响设备、桌椅（不含娱乐用）、祭台、仿真盆景、标准休息室2间、音响室、香炉、礼薄桌、跪垫、供品盘、饮水机4台、垃圾桶4个、布艺、电视机、空调等。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永乐堂（242平方米）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80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音响设备、桌椅（不含娱乐用）、祭台、仿真盆景、标准休息室2间、音响室、香炉、礼薄桌、跪垫、供品盘、饮水机4台、垃圾桶4个、布艺、空调等。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天年、万寿堂（228平方米）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70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音响设备、桌椅（不含娱乐用）、祭台、仿真盆景、标准休息室1间、音响室、香炉、礼薄桌、跪垫、供品盘、饮水机4台、垃圾桶4个、布艺、空调等。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松鹤、仁寿厅（186平方米）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60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音响设备、桌椅（不含娱乐用）、祭台、仿真盆景、标准休息室1间、音响室、香炉、礼薄桌、跪垫、供品盘、饮水机4台、垃圾桶4个、布艺、空调等。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颐养、念慈厅（168平方米）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50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音响设备、桌椅（不含娱乐用）、祭台、仿真盆景、标准休息室1间、音响室、香炉、礼薄桌、跪垫、供品盘、饮水机4台、垃圾桶4个、布艺、空调等。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铭德、驾鹤厅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30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音响设备、桌椅（不含娱乐用）、祭台、仿真盆景、音响室、香炉、礼薄桌、跪垫、供品盘、饮水机4台、垃圾桶4个、布艺、空调等。</w:t>
            </w:r>
          </w:p>
        </w:tc>
        <w:tc>
          <w:tcPr>
            <w:tcW w:w="99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二、告别厅遗体交接</w:t>
            </w:r>
          </w:p>
        </w:tc>
        <w:tc>
          <w:tcPr>
            <w:tcW w:w="1081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元/场.次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150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音响设备、祭台、青松、绢花圈、绢花篮、音响室，对遗体进行整理，举行最后告别，送别亲人所提供的场地及人工服务</w:t>
            </w:r>
            <w:r>
              <w:rPr>
                <w:rFonts w:hint="eastAsia" w:cs="Times New Roman"/>
                <w:sz w:val="24"/>
                <w:lang w:eastAsia="zh-CN" w:bidi="ar-SA"/>
              </w:rPr>
              <w:t>等</w:t>
            </w:r>
            <w:r>
              <w:rPr>
                <w:rFonts w:hint="default" w:cs="Times New Roman"/>
                <w:sz w:val="24"/>
                <w:lang w:bidi="ar-SA"/>
              </w:rPr>
              <w:t>。</w:t>
            </w: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三、正常遗体整理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100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四、安乐恒温床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元/小时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8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尾数</w:t>
            </w:r>
            <w:r>
              <w:rPr>
                <w:rFonts w:hint="eastAsia" w:cs="Times New Roman"/>
                <w:sz w:val="24"/>
                <w:lang w:eastAsia="zh-CN" w:bidi="ar-SA"/>
              </w:rPr>
              <w:t>不</w:t>
            </w:r>
            <w:r>
              <w:rPr>
                <w:rFonts w:hint="default" w:cs="Times New Roman"/>
                <w:sz w:val="24"/>
                <w:lang w:bidi="ar-SA"/>
              </w:rPr>
              <w:t>超过30分钟按</w:t>
            </w:r>
            <w:r>
              <w:rPr>
                <w:rFonts w:hint="eastAsia" w:cs="Times New Roman"/>
                <w:sz w:val="24"/>
                <w:lang w:eastAsia="zh-CN" w:bidi="ar-SA"/>
              </w:rPr>
              <w:t>半</w:t>
            </w:r>
            <w:r>
              <w:rPr>
                <w:rFonts w:hint="default" w:cs="Times New Roman"/>
                <w:sz w:val="24"/>
                <w:lang w:bidi="ar-SA"/>
              </w:rPr>
              <w:t>小时计算</w:t>
            </w:r>
            <w:r>
              <w:rPr>
                <w:rFonts w:hint="eastAsia" w:cs="Times New Roman"/>
                <w:sz w:val="24"/>
                <w:lang w:eastAsia="zh-CN" w:bidi="ar-SA"/>
              </w:rPr>
              <w:t>；</w:t>
            </w:r>
            <w:r>
              <w:rPr>
                <w:rFonts w:hint="default" w:cs="Times New Roman"/>
                <w:sz w:val="24"/>
                <w:lang w:bidi="ar-SA"/>
              </w:rPr>
              <w:t>尾数超过30分钟按1小时计算。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left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五、自运车辆消毒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元/辆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eastAsia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50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六、正常遗体</w:t>
            </w:r>
            <w:r>
              <w:rPr>
                <w:rFonts w:cs="Times New Roman"/>
                <w:b/>
                <w:sz w:val="24"/>
                <w:lang w:bidi="ar-SA"/>
              </w:rPr>
              <w:t>包</w:t>
            </w:r>
            <w:r>
              <w:rPr>
                <w:rFonts w:hint="default" w:cs="Times New Roman"/>
                <w:b/>
                <w:sz w:val="24"/>
                <w:lang w:bidi="ar-SA"/>
              </w:rPr>
              <w:t>扎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元/具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七、骨灰防腐剂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元/袋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30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八、电子鞭炮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元/组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5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b/>
                <w:sz w:val="24"/>
                <w:lang w:bidi="ar-SA"/>
              </w:rPr>
            </w:pPr>
            <w:r>
              <w:rPr>
                <w:rFonts w:hint="default" w:cs="Times New Roman"/>
                <w:b/>
                <w:sz w:val="24"/>
                <w:lang w:bidi="ar-SA"/>
              </w:rPr>
              <w:t>九、花圈（不分大小）</w:t>
            </w:r>
          </w:p>
        </w:tc>
        <w:tc>
          <w:tcPr>
            <w:tcW w:w="1081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元/个</w:t>
            </w:r>
          </w:p>
        </w:tc>
        <w:tc>
          <w:tcPr>
            <w:tcW w:w="69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  <w:r>
              <w:rPr>
                <w:rFonts w:hint="default" w:cs="Times New Roman"/>
                <w:sz w:val="24"/>
                <w:lang w:bidi="ar-SA"/>
              </w:rPr>
              <w:t>20</w:t>
            </w:r>
          </w:p>
        </w:tc>
        <w:tc>
          <w:tcPr>
            <w:tcW w:w="552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rPr>
                <w:rFonts w:hint="default" w:cs="Times New Roman"/>
                <w:sz w:val="24"/>
                <w:lang w:bidi="ar-SA"/>
              </w:rPr>
            </w:pPr>
          </w:p>
        </w:tc>
        <w:tc>
          <w:tcPr>
            <w:tcW w:w="99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ind w:firstLine="0"/>
              <w:jc w:val="center"/>
              <w:rPr>
                <w:rFonts w:hint="default" w:cs="Times New Roman"/>
                <w:sz w:val="24"/>
                <w:lang w:bidi="ar-SA"/>
              </w:rPr>
            </w:pPr>
          </w:p>
        </w:tc>
      </w:tr>
    </w:tbl>
    <w:p>
      <w:pPr>
        <w:rPr>
          <w:rFonts w:hint="default" w:eastAsia="仿宋_GB2312" w:cs="Times New Roman"/>
          <w:sz w:val="28"/>
          <w:szCs w:val="28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5C4A"/>
    <w:rsid w:val="59A55C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2018-06-11T03:41:00Z</dcterms:created>
  <dc:creator>时乐</dc:creator>
  <cp:lastModifiedBy>时乐</cp:lastModifiedBy>
  <dcterms:modified xsi:type="dcterms:W3CDTF">2018-06-11T04:23:05Z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